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76" w:rsidRDefault="00A21076">
      <w:pPr>
        <w:outlineLvl w:val="0"/>
      </w:pPr>
    </w:p>
    <w:p w:rsidR="00A21076" w:rsidRDefault="00A21076">
      <w:pPr>
        <w:outlineLvl w:val="0"/>
        <w:rPr>
          <w:b/>
          <w:color w:val="808080"/>
          <w:sz w:val="32"/>
          <w:szCs w:val="32"/>
        </w:rPr>
      </w:pPr>
      <w:r w:rsidRPr="008031DC">
        <w:rPr>
          <w:b/>
          <w:color w:val="808080"/>
          <w:sz w:val="32"/>
          <w:szCs w:val="32"/>
        </w:rPr>
        <w:t>TISKOVÁ ZPRÁVA</w:t>
      </w:r>
    </w:p>
    <w:p w:rsidR="005C5354" w:rsidRDefault="00FB473E" w:rsidP="00FB473E">
      <w:pPr>
        <w:outlineLvl w:val="0"/>
        <w:rPr>
          <w:b/>
          <w:bCs/>
          <w:color w:val="808080"/>
          <w:sz w:val="32"/>
          <w:szCs w:val="32"/>
        </w:rPr>
      </w:pPr>
      <w:r>
        <w:rPr>
          <w:b/>
          <w:color w:val="808080"/>
          <w:sz w:val="32"/>
          <w:szCs w:val="32"/>
        </w:rPr>
        <w:t>Městská památková zóna Uherské Hradiště získala ve Zlínském kraji prvenství</w:t>
      </w:r>
      <w:r>
        <w:rPr>
          <w:b/>
          <w:bCs/>
          <w:color w:val="808080"/>
          <w:sz w:val="32"/>
          <w:szCs w:val="32"/>
        </w:rPr>
        <w:t xml:space="preserve">, </w:t>
      </w:r>
      <w:r w:rsidR="00260456">
        <w:rPr>
          <w:b/>
          <w:bCs/>
          <w:color w:val="808080"/>
          <w:sz w:val="32"/>
          <w:szCs w:val="32"/>
        </w:rPr>
        <w:t xml:space="preserve">město bude </w:t>
      </w:r>
      <w:r w:rsidR="002124F9">
        <w:rPr>
          <w:b/>
          <w:bCs/>
          <w:color w:val="808080"/>
          <w:sz w:val="32"/>
          <w:szCs w:val="32"/>
        </w:rPr>
        <w:t>usilovat</w:t>
      </w:r>
      <w:r w:rsidR="00260456">
        <w:rPr>
          <w:b/>
          <w:bCs/>
          <w:color w:val="808080"/>
          <w:sz w:val="32"/>
          <w:szCs w:val="32"/>
        </w:rPr>
        <w:t xml:space="preserve"> o</w:t>
      </w:r>
      <w:r w:rsidR="000F5523" w:rsidRPr="008031DC">
        <w:rPr>
          <w:b/>
          <w:bCs/>
          <w:color w:val="808080"/>
          <w:sz w:val="32"/>
          <w:szCs w:val="32"/>
        </w:rPr>
        <w:t xml:space="preserve"> titul Historické město roku 201</w:t>
      </w:r>
      <w:r>
        <w:rPr>
          <w:b/>
          <w:bCs/>
          <w:color w:val="808080"/>
          <w:sz w:val="32"/>
          <w:szCs w:val="32"/>
        </w:rPr>
        <w:t>8</w:t>
      </w:r>
      <w:r w:rsidR="000F5523" w:rsidRPr="008031DC">
        <w:rPr>
          <w:b/>
          <w:bCs/>
          <w:color w:val="808080"/>
          <w:sz w:val="32"/>
          <w:szCs w:val="32"/>
        </w:rPr>
        <w:t xml:space="preserve"> </w:t>
      </w:r>
    </w:p>
    <w:p w:rsidR="00E473C0" w:rsidRPr="008031DC" w:rsidRDefault="00E473C0" w:rsidP="001529B8">
      <w:pPr>
        <w:pBdr>
          <w:bottom w:val="single" w:sz="4" w:space="1" w:color="auto"/>
        </w:pBdr>
        <w:rPr>
          <w:b/>
          <w:bCs/>
          <w:color w:val="808080"/>
          <w:sz w:val="28"/>
          <w:szCs w:val="28"/>
        </w:rPr>
      </w:pPr>
    </w:p>
    <w:p w:rsidR="004E1E96" w:rsidRPr="00B34E7F" w:rsidRDefault="004E1E96" w:rsidP="001529B8">
      <w:pPr>
        <w:pBdr>
          <w:bottom w:val="single" w:sz="4" w:space="1" w:color="auto"/>
        </w:pBdr>
        <w:rPr>
          <w:b/>
          <w:bCs/>
          <w:szCs w:val="22"/>
        </w:rPr>
      </w:pPr>
      <w:r w:rsidRPr="00B34E7F">
        <w:rPr>
          <w:b/>
          <w:bCs/>
          <w:szCs w:val="22"/>
        </w:rPr>
        <w:t xml:space="preserve">Kroměříž, </w:t>
      </w:r>
      <w:r w:rsidR="00056C2E">
        <w:rPr>
          <w:b/>
          <w:bCs/>
          <w:szCs w:val="22"/>
        </w:rPr>
        <w:t>30</w:t>
      </w:r>
      <w:r w:rsidR="00E730C1" w:rsidRPr="00B34E7F">
        <w:rPr>
          <w:b/>
          <w:bCs/>
          <w:szCs w:val="22"/>
        </w:rPr>
        <w:t>. ledna 201</w:t>
      </w:r>
      <w:r w:rsidR="00FB473E">
        <w:rPr>
          <w:b/>
          <w:bCs/>
          <w:szCs w:val="22"/>
        </w:rPr>
        <w:t>9</w:t>
      </w:r>
    </w:p>
    <w:p w:rsidR="00A21076" w:rsidRPr="00A17105" w:rsidRDefault="00A21076">
      <w:pPr>
        <w:rPr>
          <w:sz w:val="24"/>
        </w:rPr>
      </w:pPr>
    </w:p>
    <w:p w:rsidR="000466E3" w:rsidRPr="00B34E7F" w:rsidRDefault="00FB473E" w:rsidP="00B34E7F">
      <w:pPr>
        <w:spacing w:line="276" w:lineRule="auto"/>
        <w:jc w:val="both"/>
        <w:rPr>
          <w:b/>
          <w:szCs w:val="22"/>
        </w:rPr>
      </w:pPr>
      <w:r>
        <w:rPr>
          <w:b/>
          <w:szCs w:val="22"/>
        </w:rPr>
        <w:t>Město Uherské Hradiště</w:t>
      </w:r>
      <w:r w:rsidR="00E730C1" w:rsidRPr="00B34E7F">
        <w:rPr>
          <w:b/>
          <w:szCs w:val="22"/>
        </w:rPr>
        <w:t xml:space="preserve"> bylo za Zlínský kraj nominováno do celostátní soutěže o titul Historické město roku 201</w:t>
      </w:r>
      <w:r>
        <w:rPr>
          <w:b/>
          <w:szCs w:val="22"/>
        </w:rPr>
        <w:t>8</w:t>
      </w:r>
      <w:r w:rsidR="007C53C0">
        <w:rPr>
          <w:b/>
          <w:szCs w:val="22"/>
        </w:rPr>
        <w:t xml:space="preserve">. </w:t>
      </w:r>
      <w:r>
        <w:rPr>
          <w:b/>
          <w:szCs w:val="22"/>
        </w:rPr>
        <w:t>Zlínsk</w:t>
      </w:r>
      <w:r w:rsidR="007C53C0">
        <w:rPr>
          <w:b/>
          <w:szCs w:val="22"/>
        </w:rPr>
        <w:t>ý</w:t>
      </w:r>
      <w:r>
        <w:rPr>
          <w:b/>
          <w:szCs w:val="22"/>
        </w:rPr>
        <w:t xml:space="preserve"> kraj</w:t>
      </w:r>
      <w:r w:rsidR="007C53C0">
        <w:rPr>
          <w:b/>
          <w:szCs w:val="22"/>
        </w:rPr>
        <w:t xml:space="preserve"> </w:t>
      </w:r>
      <w:r>
        <w:rPr>
          <w:b/>
          <w:szCs w:val="22"/>
        </w:rPr>
        <w:t xml:space="preserve">tento titul </w:t>
      </w:r>
      <w:r w:rsidR="007C53C0">
        <w:rPr>
          <w:b/>
          <w:szCs w:val="22"/>
        </w:rPr>
        <w:t xml:space="preserve">obhájil celkem dvakrát, poprvé v roce 1998 zvítězilo město Kroměříž, podruhé </w:t>
      </w:r>
      <w:r w:rsidR="009D47DC">
        <w:rPr>
          <w:b/>
          <w:szCs w:val="22"/>
        </w:rPr>
        <w:t>v roce 2012</w:t>
      </w:r>
      <w:r w:rsidR="007C53C0">
        <w:rPr>
          <w:b/>
          <w:szCs w:val="22"/>
        </w:rPr>
        <w:t xml:space="preserve"> titul získalo</w:t>
      </w:r>
      <w:r w:rsidR="009D47DC">
        <w:rPr>
          <w:b/>
          <w:szCs w:val="22"/>
        </w:rPr>
        <w:t xml:space="preserve"> právě </w:t>
      </w:r>
      <w:r w:rsidR="007C53C0">
        <w:rPr>
          <w:b/>
          <w:szCs w:val="22"/>
        </w:rPr>
        <w:t xml:space="preserve">město </w:t>
      </w:r>
      <w:r w:rsidR="009D47DC">
        <w:rPr>
          <w:b/>
          <w:szCs w:val="22"/>
        </w:rPr>
        <w:t>Uherské Hradiště</w:t>
      </w:r>
      <w:r w:rsidR="007C53C0">
        <w:rPr>
          <w:b/>
          <w:szCs w:val="22"/>
        </w:rPr>
        <w:t xml:space="preserve">. </w:t>
      </w:r>
      <w:r w:rsidR="00C301BD" w:rsidRPr="00B34E7F">
        <w:rPr>
          <w:b/>
          <w:szCs w:val="22"/>
        </w:rPr>
        <w:t>Titul Historické město roku se uděluje jako ocenění za nejlepší přípravu a realizaci v rámci Programu regenerace městských památkových rezervací a městských památkových zón</w:t>
      </w:r>
      <w:r w:rsidR="00E32177">
        <w:rPr>
          <w:b/>
          <w:szCs w:val="22"/>
        </w:rPr>
        <w:t xml:space="preserve">. Dotační titul </w:t>
      </w:r>
      <w:r w:rsidR="00C301BD" w:rsidRPr="00B34E7F">
        <w:rPr>
          <w:b/>
          <w:szCs w:val="22"/>
        </w:rPr>
        <w:t>je nástrojem k obnově kulturních památek nacházejících se v nejcennějších částech našich histori</w:t>
      </w:r>
      <w:r w:rsidR="00516102">
        <w:rPr>
          <w:b/>
          <w:szCs w:val="22"/>
        </w:rPr>
        <w:t xml:space="preserve">ckých měst. </w:t>
      </w:r>
      <w:r w:rsidR="000466E3" w:rsidRPr="00B34E7F">
        <w:rPr>
          <w:b/>
          <w:szCs w:val="22"/>
        </w:rPr>
        <w:t>Celostátní vítěz s</w:t>
      </w:r>
      <w:r w:rsidR="00516102">
        <w:rPr>
          <w:b/>
          <w:szCs w:val="22"/>
        </w:rPr>
        <w:t xml:space="preserve">outěže bude slavnostně vyhlášen </w:t>
      </w:r>
      <w:r>
        <w:rPr>
          <w:b/>
          <w:szCs w:val="22"/>
        </w:rPr>
        <w:t>ve Španělském sále Pražského hradu</w:t>
      </w:r>
      <w:r w:rsidR="000466E3" w:rsidRPr="00B34E7F">
        <w:rPr>
          <w:b/>
          <w:szCs w:val="22"/>
        </w:rPr>
        <w:t xml:space="preserve"> </w:t>
      </w:r>
      <w:r w:rsidR="00E32177">
        <w:rPr>
          <w:b/>
          <w:szCs w:val="22"/>
        </w:rPr>
        <w:t>v dubnu 2019 u </w:t>
      </w:r>
      <w:r w:rsidR="000466E3" w:rsidRPr="00B34E7F">
        <w:rPr>
          <w:b/>
          <w:szCs w:val="22"/>
        </w:rPr>
        <w:t xml:space="preserve">příležitosti Mezinárodního dne památek a historických sídel. </w:t>
      </w:r>
    </w:p>
    <w:p w:rsidR="000466E3" w:rsidRPr="00B34E7F" w:rsidRDefault="000466E3" w:rsidP="00B34E7F">
      <w:pPr>
        <w:spacing w:line="276" w:lineRule="auto"/>
        <w:jc w:val="both"/>
        <w:rPr>
          <w:b/>
          <w:szCs w:val="22"/>
        </w:rPr>
      </w:pPr>
    </w:p>
    <w:p w:rsidR="0092512F" w:rsidRDefault="00516102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>Ve Zlínském kraji h</w:t>
      </w:r>
      <w:r w:rsidR="00260456" w:rsidRPr="00260456">
        <w:rPr>
          <w:szCs w:val="22"/>
        </w:rPr>
        <w:t>odnotící komise</w:t>
      </w:r>
      <w:r w:rsidR="002124F9">
        <w:rPr>
          <w:szCs w:val="22"/>
        </w:rPr>
        <w:t xml:space="preserve">, </w:t>
      </w:r>
      <w:r w:rsidR="002124F9" w:rsidRPr="00B34E7F">
        <w:rPr>
          <w:szCs w:val="22"/>
        </w:rPr>
        <w:t>složená ze zástupců Ministerstva pro místní rozvoj, Sdružení historických sídel Čech, Moravy a Slezska a Národního památkového ústavu, územního odborného pracoviště v</w:t>
      </w:r>
      <w:r w:rsidR="002124F9">
        <w:rPr>
          <w:szCs w:val="22"/>
        </w:rPr>
        <w:t> </w:t>
      </w:r>
      <w:r w:rsidR="002124F9" w:rsidRPr="00B34E7F">
        <w:rPr>
          <w:szCs w:val="22"/>
        </w:rPr>
        <w:t>Kroměříži</w:t>
      </w:r>
      <w:r w:rsidR="002124F9">
        <w:rPr>
          <w:szCs w:val="22"/>
        </w:rPr>
        <w:t xml:space="preserve">, </w:t>
      </w:r>
      <w:r w:rsidR="00260456" w:rsidRPr="00260456">
        <w:rPr>
          <w:szCs w:val="22"/>
        </w:rPr>
        <w:t>hodnotila celkem tři města: Fryšták, Holešov</w:t>
      </w:r>
      <w:r>
        <w:rPr>
          <w:szCs w:val="22"/>
        </w:rPr>
        <w:t xml:space="preserve"> a</w:t>
      </w:r>
      <w:r w:rsidR="00260456" w:rsidRPr="00260456">
        <w:rPr>
          <w:szCs w:val="22"/>
        </w:rPr>
        <w:t xml:space="preserve"> Uherské Hradiště. </w:t>
      </w:r>
      <w:r w:rsidR="002124F9">
        <w:rPr>
          <w:szCs w:val="22"/>
        </w:rPr>
        <w:t xml:space="preserve">Krajská komise přihlášená města osobně navštívila v pátek </w:t>
      </w:r>
      <w:r w:rsidR="00627385">
        <w:rPr>
          <w:szCs w:val="22"/>
        </w:rPr>
        <w:t>25. ledna 2019, kdy zástupci měst komisi blíže představili své</w:t>
      </w:r>
      <w:r w:rsidR="002124F9" w:rsidRPr="00B34E7F">
        <w:rPr>
          <w:szCs w:val="22"/>
        </w:rPr>
        <w:t xml:space="preserve"> prog</w:t>
      </w:r>
      <w:r w:rsidR="002124F9">
        <w:rPr>
          <w:szCs w:val="22"/>
        </w:rPr>
        <w:t>ram</w:t>
      </w:r>
      <w:r w:rsidR="00627385">
        <w:rPr>
          <w:szCs w:val="22"/>
        </w:rPr>
        <w:t>y</w:t>
      </w:r>
      <w:r w:rsidR="002124F9">
        <w:rPr>
          <w:szCs w:val="22"/>
        </w:rPr>
        <w:t xml:space="preserve"> regenerace a </w:t>
      </w:r>
      <w:r w:rsidR="00627385">
        <w:rPr>
          <w:szCs w:val="22"/>
        </w:rPr>
        <w:t>prezentaci doplnili o konkrétní ukázku v terénu.</w:t>
      </w:r>
    </w:p>
    <w:p w:rsidR="0092512F" w:rsidRDefault="0092512F" w:rsidP="00B34E7F">
      <w:pPr>
        <w:spacing w:line="276" w:lineRule="auto"/>
        <w:jc w:val="both"/>
        <w:rPr>
          <w:szCs w:val="22"/>
        </w:rPr>
      </w:pPr>
    </w:p>
    <w:p w:rsidR="0092512F" w:rsidRDefault="0092512F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Komise jednotlivá města posuzovala </w:t>
      </w:r>
      <w:r w:rsidR="00056C2E">
        <w:rPr>
          <w:szCs w:val="22"/>
        </w:rPr>
        <w:t>v souladu s</w:t>
      </w:r>
      <w:r w:rsidR="000419D4">
        <w:rPr>
          <w:szCs w:val="22"/>
        </w:rPr>
        <w:t> </w:t>
      </w:r>
      <w:r w:rsidR="00056C2E">
        <w:rPr>
          <w:szCs w:val="22"/>
        </w:rPr>
        <w:t>předepsaným</w:t>
      </w:r>
      <w:r w:rsidR="000419D4">
        <w:rPr>
          <w:szCs w:val="22"/>
        </w:rPr>
        <w:t xml:space="preserve"> hodnotícím protokolem, který vymezuje jednotlivé oblasti a bodovou škálu hodnocení. Kritéria hodnocení se zaměřují</w:t>
      </w:r>
      <w:r>
        <w:rPr>
          <w:szCs w:val="22"/>
        </w:rPr>
        <w:t xml:space="preserve"> nejen na péči o kulturní památky v jednotlivých městských památkových zónách, ale i na péči o ostatní objekty na území památkových zón, pozornost byla věnována i stavu veřejných prostor</w:t>
      </w:r>
      <w:r w:rsidR="000419D4">
        <w:rPr>
          <w:szCs w:val="22"/>
        </w:rPr>
        <w:t xml:space="preserve">. </w:t>
      </w:r>
      <w:r w:rsidR="001152DC">
        <w:rPr>
          <w:szCs w:val="22"/>
        </w:rPr>
        <w:t xml:space="preserve">Na celkové bodové hodnocení </w:t>
      </w:r>
      <w:r w:rsidR="00627385">
        <w:rPr>
          <w:szCs w:val="22"/>
        </w:rPr>
        <w:t>měl</w:t>
      </w:r>
      <w:r w:rsidR="001152DC">
        <w:rPr>
          <w:szCs w:val="22"/>
        </w:rPr>
        <w:t xml:space="preserve"> vliv i stav</w:t>
      </w:r>
      <w:r>
        <w:rPr>
          <w:szCs w:val="22"/>
        </w:rPr>
        <w:t xml:space="preserve"> životní</w:t>
      </w:r>
      <w:r w:rsidR="001152DC">
        <w:rPr>
          <w:szCs w:val="22"/>
        </w:rPr>
        <w:t>ho</w:t>
      </w:r>
      <w:r>
        <w:rPr>
          <w:szCs w:val="22"/>
        </w:rPr>
        <w:t xml:space="preserve"> prostředí </w:t>
      </w:r>
      <w:r w:rsidR="001152DC">
        <w:rPr>
          <w:szCs w:val="22"/>
        </w:rPr>
        <w:t xml:space="preserve">ve městě a celková péče o obyvatele a návštěvníky města, zda jsou například památky návštěvníkům zpřístupňovány a jakou formou je Program regenerace MPZ obyvatelům prezentován. Nedílnou součástí </w:t>
      </w:r>
      <w:r w:rsidR="00B2344B">
        <w:rPr>
          <w:szCs w:val="22"/>
        </w:rPr>
        <w:t>hodnocení v krajském kole je i finanční podíl města na obnově památkových objektů, celková koncepce regenerace městských památkových zón a péče o celkový vzhled památkových zón.</w:t>
      </w:r>
      <w:r w:rsidR="000419D4">
        <w:rPr>
          <w:szCs w:val="22"/>
        </w:rPr>
        <w:t xml:space="preserve"> Celkově bylo hodnoceno nejen období roku 2018, ale i koncepce péče o městské památkové zóny za uplynulé desetiletí.</w:t>
      </w:r>
    </w:p>
    <w:p w:rsidR="0092512F" w:rsidRDefault="0092512F" w:rsidP="00B34E7F">
      <w:pPr>
        <w:spacing w:line="276" w:lineRule="auto"/>
        <w:jc w:val="both"/>
        <w:rPr>
          <w:szCs w:val="22"/>
        </w:rPr>
      </w:pPr>
    </w:p>
    <w:p w:rsidR="0039490E" w:rsidRDefault="00B2344B" w:rsidP="007B0503">
      <w:pPr>
        <w:spacing w:line="276" w:lineRule="auto"/>
        <w:jc w:val="both"/>
        <w:rPr>
          <w:b/>
          <w:szCs w:val="22"/>
        </w:rPr>
      </w:pPr>
      <w:r>
        <w:rPr>
          <w:b/>
          <w:szCs w:val="22"/>
        </w:rPr>
        <w:t xml:space="preserve">Na základě jednotlivých témat krajská komise přidělila městům bodové hodnocení a </w:t>
      </w:r>
      <w:r w:rsidR="007B0503">
        <w:rPr>
          <w:b/>
          <w:szCs w:val="22"/>
        </w:rPr>
        <w:t>stanovila pořadí. V</w:t>
      </w:r>
      <w:r w:rsidR="003F2175" w:rsidRPr="003F2175">
        <w:rPr>
          <w:b/>
          <w:szCs w:val="22"/>
        </w:rPr>
        <w:t>ítězem krajského kola se stalo město Uherské Hradiště</w:t>
      </w:r>
      <w:r w:rsidR="007B0503" w:rsidRPr="007B0503">
        <w:rPr>
          <w:b/>
          <w:szCs w:val="22"/>
        </w:rPr>
        <w:t>, které obdrží z Programu regenerace od Ministerstva kultury 100 000 Kč a pamětní list.</w:t>
      </w:r>
    </w:p>
    <w:p w:rsidR="0039490E" w:rsidRDefault="0039490E" w:rsidP="0092512F">
      <w:pPr>
        <w:spacing w:line="276" w:lineRule="auto"/>
        <w:jc w:val="both"/>
        <w:rPr>
          <w:b/>
          <w:szCs w:val="22"/>
        </w:rPr>
      </w:pPr>
    </w:p>
    <w:p w:rsidR="0039490E" w:rsidRDefault="0039490E" w:rsidP="0039490E">
      <w:pPr>
        <w:spacing w:line="276" w:lineRule="auto"/>
        <w:jc w:val="both"/>
        <w:rPr>
          <w:szCs w:val="22"/>
        </w:rPr>
      </w:pPr>
      <w:r>
        <w:rPr>
          <w:szCs w:val="22"/>
        </w:rPr>
        <w:t>Celkové pořadí krajského kola ve Zlínském kraji:</w:t>
      </w:r>
    </w:p>
    <w:p w:rsidR="0039490E" w:rsidRDefault="0039490E" w:rsidP="0039490E">
      <w:pPr>
        <w:spacing w:line="276" w:lineRule="auto"/>
        <w:jc w:val="both"/>
        <w:rPr>
          <w:szCs w:val="22"/>
        </w:rPr>
      </w:pPr>
      <w:r>
        <w:rPr>
          <w:szCs w:val="22"/>
        </w:rPr>
        <w:t>1. místo – Uherské Hradiště (231 bodů)</w:t>
      </w:r>
    </w:p>
    <w:p w:rsidR="0039490E" w:rsidRDefault="0039490E" w:rsidP="0039490E">
      <w:pPr>
        <w:spacing w:line="276" w:lineRule="auto"/>
        <w:jc w:val="both"/>
        <w:rPr>
          <w:szCs w:val="22"/>
        </w:rPr>
      </w:pPr>
      <w:r>
        <w:rPr>
          <w:szCs w:val="22"/>
        </w:rPr>
        <w:t>2. místo – Holešov (207 bodů)</w:t>
      </w:r>
    </w:p>
    <w:p w:rsidR="0039490E" w:rsidRDefault="0039490E" w:rsidP="0039490E">
      <w:pPr>
        <w:spacing w:line="276" w:lineRule="auto"/>
        <w:jc w:val="both"/>
        <w:rPr>
          <w:b/>
          <w:szCs w:val="22"/>
        </w:rPr>
      </w:pPr>
      <w:r>
        <w:rPr>
          <w:szCs w:val="22"/>
        </w:rPr>
        <w:t>3. místo – Fryšták (138 bodů)</w:t>
      </w:r>
    </w:p>
    <w:p w:rsidR="0039490E" w:rsidRDefault="0039490E" w:rsidP="0092512F">
      <w:pPr>
        <w:spacing w:line="276" w:lineRule="auto"/>
        <w:jc w:val="both"/>
        <w:rPr>
          <w:b/>
          <w:szCs w:val="22"/>
        </w:rPr>
      </w:pPr>
    </w:p>
    <w:p w:rsidR="00AB463F" w:rsidRDefault="00AB463F" w:rsidP="0092512F">
      <w:pPr>
        <w:spacing w:line="276" w:lineRule="auto"/>
        <w:jc w:val="both"/>
        <w:rPr>
          <w:szCs w:val="22"/>
        </w:rPr>
      </w:pPr>
      <w:r>
        <w:rPr>
          <w:szCs w:val="22"/>
        </w:rPr>
        <w:t xml:space="preserve">Dosud ze Zlínského kraje uspěla v celostátním kole dvě města: Kroměříž v roce 1998 a Uherské Hradiště  v roce 2012. </w:t>
      </w:r>
      <w:r w:rsidR="009F234B">
        <w:rPr>
          <w:szCs w:val="22"/>
        </w:rPr>
        <w:t xml:space="preserve">Vítěz celostátního kola je povinen dle pravidel soutěže dodržet přestávku a do soutěže se po dobu pěti následujících let nepřihlásit. Město </w:t>
      </w:r>
      <w:r w:rsidR="009F234B" w:rsidRPr="009F234B">
        <w:rPr>
          <w:b/>
          <w:szCs w:val="22"/>
        </w:rPr>
        <w:t>Uherské Hradiště</w:t>
      </w:r>
      <w:r w:rsidR="009F234B">
        <w:rPr>
          <w:szCs w:val="22"/>
        </w:rPr>
        <w:t xml:space="preserve"> se po nucené přestávce do soutěže opět přihlásilo v loňském roce, v letošním roce dosáhlo v krajském kole na prvenství a má šanci opět usilovat</w:t>
      </w:r>
      <w:r w:rsidR="000419D4">
        <w:rPr>
          <w:szCs w:val="22"/>
        </w:rPr>
        <w:t xml:space="preserve"> o titul Historické město roku.</w:t>
      </w:r>
    </w:p>
    <w:p w:rsidR="00AB463F" w:rsidRDefault="00AB463F" w:rsidP="0092512F">
      <w:pPr>
        <w:spacing w:line="276" w:lineRule="auto"/>
        <w:jc w:val="both"/>
        <w:rPr>
          <w:szCs w:val="22"/>
        </w:rPr>
      </w:pPr>
    </w:p>
    <w:p w:rsidR="00A361AC" w:rsidRDefault="00282AD2" w:rsidP="00B34E7F">
      <w:pPr>
        <w:spacing w:line="276" w:lineRule="auto"/>
        <w:jc w:val="both"/>
        <w:rPr>
          <w:szCs w:val="22"/>
        </w:rPr>
      </w:pPr>
      <w:r>
        <w:rPr>
          <w:szCs w:val="22"/>
        </w:rPr>
        <w:t>Druhé</w:t>
      </w:r>
      <w:r w:rsidR="00A46414" w:rsidRPr="00B34E7F">
        <w:rPr>
          <w:szCs w:val="22"/>
        </w:rPr>
        <w:t xml:space="preserve"> místo v krajském kole soutěže obsadilo město</w:t>
      </w:r>
      <w:r w:rsidR="00A46414" w:rsidRPr="00B34E7F">
        <w:rPr>
          <w:b/>
          <w:szCs w:val="22"/>
        </w:rPr>
        <w:t xml:space="preserve"> Holešov</w:t>
      </w:r>
      <w:r w:rsidR="00160B55">
        <w:rPr>
          <w:szCs w:val="22"/>
        </w:rPr>
        <w:t>, které krajsk</w:t>
      </w:r>
      <w:r w:rsidR="008C01F4">
        <w:rPr>
          <w:szCs w:val="22"/>
        </w:rPr>
        <w:t>á</w:t>
      </w:r>
      <w:r w:rsidR="00160B55">
        <w:rPr>
          <w:szCs w:val="22"/>
        </w:rPr>
        <w:t xml:space="preserve"> kol</w:t>
      </w:r>
      <w:r w:rsidR="008C01F4">
        <w:rPr>
          <w:szCs w:val="22"/>
        </w:rPr>
        <w:t>a</w:t>
      </w:r>
      <w:r w:rsidR="00160B55">
        <w:rPr>
          <w:szCs w:val="22"/>
        </w:rPr>
        <w:t xml:space="preserve"> soutěže vyh</w:t>
      </w:r>
      <w:r w:rsidR="000419D4">
        <w:rPr>
          <w:szCs w:val="22"/>
        </w:rPr>
        <w:t>rálo v předchozích dvou letech.</w:t>
      </w:r>
    </w:p>
    <w:p w:rsidR="008C01F4" w:rsidRPr="00B34E7F" w:rsidRDefault="008C01F4" w:rsidP="00B34E7F">
      <w:pPr>
        <w:spacing w:line="276" w:lineRule="auto"/>
        <w:jc w:val="both"/>
        <w:rPr>
          <w:szCs w:val="22"/>
        </w:rPr>
      </w:pPr>
    </w:p>
    <w:p w:rsidR="00F6592C" w:rsidRPr="00B34E7F" w:rsidRDefault="008C01F4" w:rsidP="00B34E7F">
      <w:pPr>
        <w:spacing w:line="276" w:lineRule="auto"/>
        <w:jc w:val="both"/>
        <w:rPr>
          <w:rFonts w:asciiTheme="minorHAnsi" w:hAnsiTheme="minorHAnsi" w:cstheme="minorHAnsi"/>
          <w:szCs w:val="22"/>
        </w:rPr>
      </w:pPr>
      <w:r>
        <w:rPr>
          <w:szCs w:val="22"/>
        </w:rPr>
        <w:t>Na t</w:t>
      </w:r>
      <w:r w:rsidR="00F6592C" w:rsidRPr="00B34E7F">
        <w:rPr>
          <w:szCs w:val="22"/>
        </w:rPr>
        <w:t>řetí</w:t>
      </w:r>
      <w:r>
        <w:rPr>
          <w:szCs w:val="22"/>
        </w:rPr>
        <w:t>m</w:t>
      </w:r>
      <w:r w:rsidR="00F6592C" w:rsidRPr="00B34E7F">
        <w:rPr>
          <w:szCs w:val="22"/>
        </w:rPr>
        <w:t xml:space="preserve"> mís</w:t>
      </w:r>
      <w:r>
        <w:rPr>
          <w:szCs w:val="22"/>
        </w:rPr>
        <w:t>tě</w:t>
      </w:r>
      <w:r w:rsidR="00F6592C" w:rsidRPr="00B34E7F">
        <w:rPr>
          <w:szCs w:val="22"/>
        </w:rPr>
        <w:t xml:space="preserve"> </w:t>
      </w:r>
      <w:r>
        <w:rPr>
          <w:szCs w:val="22"/>
        </w:rPr>
        <w:t xml:space="preserve">se umístilo město </w:t>
      </w:r>
      <w:r w:rsidRPr="008C01F4">
        <w:rPr>
          <w:b/>
          <w:szCs w:val="22"/>
        </w:rPr>
        <w:t>Fryšták</w:t>
      </w:r>
      <w:r>
        <w:rPr>
          <w:szCs w:val="22"/>
        </w:rPr>
        <w:t xml:space="preserve">, které </w:t>
      </w:r>
      <w:r w:rsidRPr="008C01F4">
        <w:rPr>
          <w:szCs w:val="22"/>
        </w:rPr>
        <w:t>do soutěže</w:t>
      </w:r>
      <w:r>
        <w:rPr>
          <w:szCs w:val="22"/>
        </w:rPr>
        <w:t xml:space="preserve"> svůj Program regenerace</w:t>
      </w:r>
      <w:r w:rsidRPr="008C01F4">
        <w:rPr>
          <w:szCs w:val="22"/>
        </w:rPr>
        <w:t xml:space="preserve"> přihlásilo poprvé</w:t>
      </w:r>
      <w:r w:rsidR="00F6592C" w:rsidRPr="00B34E7F">
        <w:rPr>
          <w:b/>
          <w:szCs w:val="22"/>
        </w:rPr>
        <w:t xml:space="preserve">. </w:t>
      </w:r>
      <w:r w:rsidR="006277AE">
        <w:rPr>
          <w:szCs w:val="22"/>
        </w:rPr>
        <w:t xml:space="preserve">Komise </w:t>
      </w:r>
      <w:r w:rsidR="000419D4">
        <w:rPr>
          <w:szCs w:val="22"/>
        </w:rPr>
        <w:t xml:space="preserve">pozitivně </w:t>
      </w:r>
      <w:r w:rsidR="00627385">
        <w:rPr>
          <w:szCs w:val="22"/>
        </w:rPr>
        <w:t xml:space="preserve">ocenila </w:t>
      </w:r>
      <w:r w:rsidR="000419D4">
        <w:rPr>
          <w:szCs w:val="22"/>
        </w:rPr>
        <w:t>rozhodnutí města prezentovat městskou památkovou zónu v rámci letošního ročníku soutěže.</w:t>
      </w:r>
      <w:bookmarkStart w:id="0" w:name="_GoBack"/>
      <w:bookmarkEnd w:id="0"/>
    </w:p>
    <w:p w:rsidR="00CC7419" w:rsidRPr="00B34E7F" w:rsidRDefault="00CC7419" w:rsidP="00B34E7F">
      <w:pPr>
        <w:spacing w:line="276" w:lineRule="auto"/>
        <w:jc w:val="both"/>
        <w:rPr>
          <w:szCs w:val="22"/>
        </w:rPr>
      </w:pPr>
    </w:p>
    <w:p w:rsidR="006566CA" w:rsidRPr="00B34E7F" w:rsidRDefault="006566CA" w:rsidP="00B34E7F">
      <w:pPr>
        <w:spacing w:line="276" w:lineRule="auto"/>
        <w:jc w:val="both"/>
        <w:rPr>
          <w:szCs w:val="22"/>
        </w:rPr>
      </w:pPr>
      <w:r w:rsidRPr="00B34E7F">
        <w:rPr>
          <w:b/>
          <w:szCs w:val="22"/>
        </w:rPr>
        <w:t>Historické město roku</w:t>
      </w:r>
      <w:r w:rsidRPr="00B34E7F">
        <w:rPr>
          <w:szCs w:val="22"/>
        </w:rPr>
        <w:t xml:space="preserve"> – dosavadní držitelé titulu: Svitavy 1994, Kadaň 1995, Třeboň 1996, </w:t>
      </w:r>
      <w:r w:rsidRPr="00B34E7F">
        <w:rPr>
          <w:b/>
          <w:szCs w:val="22"/>
        </w:rPr>
        <w:t>Kroměříž 1997</w:t>
      </w:r>
      <w:r w:rsidRPr="00B34E7F">
        <w:rPr>
          <w:szCs w:val="22"/>
        </w:rPr>
        <w:t>,</w:t>
      </w:r>
      <w:r w:rsidRPr="00B34E7F">
        <w:rPr>
          <w:b/>
          <w:szCs w:val="22"/>
        </w:rPr>
        <w:t xml:space="preserve"> </w:t>
      </w:r>
      <w:r w:rsidRPr="00B34E7F">
        <w:rPr>
          <w:szCs w:val="22"/>
        </w:rPr>
        <w:t>Klášterec nad Ohří 1998, Kutná Hora 1999, Litomyšl 2000, Nový Jičín 2001, Prachatice 2002, Spálené Poříčí 2003, Františkovy Lázně 2004, </w:t>
      </w:r>
      <w:r w:rsidR="00C73A0C" w:rsidRPr="00B34E7F">
        <w:rPr>
          <w:rStyle w:val="Siln"/>
          <w:rFonts w:eastAsia="Calibri"/>
          <w:b w:val="0"/>
          <w:szCs w:val="22"/>
        </w:rPr>
        <w:t xml:space="preserve">Česká </w:t>
      </w:r>
      <w:r w:rsidRPr="00B34E7F">
        <w:rPr>
          <w:rStyle w:val="Siln"/>
          <w:rFonts w:eastAsia="Calibri"/>
          <w:b w:val="0"/>
          <w:szCs w:val="22"/>
        </w:rPr>
        <w:t>Kamenice</w:t>
      </w:r>
      <w:r w:rsidRPr="00B34E7F">
        <w:rPr>
          <w:rStyle w:val="Siln"/>
          <w:rFonts w:eastAsia="Calibri"/>
          <w:szCs w:val="22"/>
        </w:rPr>
        <w:t xml:space="preserve"> </w:t>
      </w:r>
      <w:r w:rsidRPr="00B34E7F">
        <w:rPr>
          <w:szCs w:val="22"/>
        </w:rPr>
        <w:t>2005, Polná 2006, Jindřichův Hradec 2007, Šternberk 2008, Beroun 2009, Znojmo 2010, </w:t>
      </w:r>
      <w:r w:rsidRPr="00B34E7F">
        <w:rPr>
          <w:b/>
          <w:szCs w:val="22"/>
        </w:rPr>
        <w:t>Uherské Hradiště 2011</w:t>
      </w:r>
      <w:r w:rsidRPr="00B34E7F">
        <w:rPr>
          <w:szCs w:val="22"/>
        </w:rPr>
        <w:t>, Jilemnic</w:t>
      </w:r>
      <w:r w:rsidR="00FB7489" w:rsidRPr="00B34E7F">
        <w:rPr>
          <w:szCs w:val="22"/>
        </w:rPr>
        <w:t>e 2012, Chrudim 2013, Cheb 2014, Příbor 2015</w:t>
      </w:r>
      <w:r w:rsidR="00CC7419" w:rsidRPr="00B34E7F">
        <w:rPr>
          <w:szCs w:val="22"/>
        </w:rPr>
        <w:t>, Jičín 2016</w:t>
      </w:r>
      <w:r w:rsidR="002124F9">
        <w:rPr>
          <w:szCs w:val="22"/>
        </w:rPr>
        <w:t>, Slavonice 2017</w:t>
      </w:r>
    </w:p>
    <w:p w:rsidR="0014184C" w:rsidRPr="00B34E7F" w:rsidRDefault="0014184C" w:rsidP="00B34E7F">
      <w:pPr>
        <w:spacing w:line="276" w:lineRule="auto"/>
        <w:jc w:val="both"/>
        <w:rPr>
          <w:szCs w:val="22"/>
        </w:rPr>
      </w:pPr>
    </w:p>
    <w:p w:rsidR="0014184C" w:rsidRPr="00B34E7F" w:rsidRDefault="0014184C" w:rsidP="00B34E7F">
      <w:pPr>
        <w:spacing w:line="276" w:lineRule="auto"/>
        <w:rPr>
          <w:szCs w:val="22"/>
        </w:rPr>
      </w:pPr>
      <w:r w:rsidRPr="00B34E7F">
        <w:rPr>
          <w:b/>
          <w:szCs w:val="22"/>
        </w:rPr>
        <w:t>Program regenerace městských památkových rezervací a městských památkových zón</w:t>
      </w:r>
      <w:r w:rsidRPr="00B34E7F">
        <w:rPr>
          <w:szCs w:val="22"/>
        </w:rPr>
        <w:t xml:space="preserve"> byl ustaven vládním usnesením z března 1992 jako nástroj záchrany a rozvoje historických jader měst a obcí. Vyhlašovateli soutěže jsou Ministerstvo kultury ČR, Ministerstvo pro místní rozvoj ČR a S</w:t>
      </w:r>
      <w:r w:rsidR="002124F9">
        <w:rPr>
          <w:szCs w:val="22"/>
        </w:rPr>
        <w:t>družení</w:t>
      </w:r>
      <w:r w:rsidRPr="00B34E7F">
        <w:rPr>
          <w:szCs w:val="22"/>
        </w:rPr>
        <w:t xml:space="preserve"> historických sídel </w:t>
      </w:r>
      <w:r w:rsidR="002124F9">
        <w:rPr>
          <w:szCs w:val="22"/>
        </w:rPr>
        <w:t>Čech, Moravy a Slezska</w:t>
      </w:r>
      <w:r w:rsidRPr="00B34E7F">
        <w:rPr>
          <w:szCs w:val="22"/>
        </w:rPr>
        <w:t>.</w:t>
      </w:r>
    </w:p>
    <w:p w:rsidR="0014184C" w:rsidRPr="00617FE9" w:rsidRDefault="0014184C" w:rsidP="003F763A">
      <w:pPr>
        <w:jc w:val="both"/>
        <w:rPr>
          <w:szCs w:val="22"/>
        </w:rPr>
      </w:pPr>
    </w:p>
    <w:p w:rsidR="003E2049" w:rsidRPr="00D71FAE" w:rsidRDefault="00D71FAE" w:rsidP="003E2049">
      <w:pPr>
        <w:jc w:val="both"/>
        <w:rPr>
          <w:rStyle w:val="Hypertextovodkaz"/>
          <w:szCs w:val="22"/>
        </w:rPr>
      </w:pPr>
      <w:r>
        <w:rPr>
          <w:szCs w:val="22"/>
        </w:rPr>
        <w:fldChar w:fldCharType="begin"/>
      </w:r>
      <w:r w:rsidR="007470A4">
        <w:rPr>
          <w:szCs w:val="22"/>
        </w:rPr>
        <w:instrText>HYPERLINK "http://www.mkcr.cz/program-regenerace-mestskych-pamatkovych-rezervaci-a-mestskych-pamatkovych-zon-282.html?searchString=program%20regenerace" \o "Informace o Programu regenerace MPR a MPZ"</w:instrText>
      </w:r>
      <w:r>
        <w:rPr>
          <w:szCs w:val="22"/>
        </w:rPr>
        <w:fldChar w:fldCharType="separate"/>
      </w:r>
      <w:r w:rsidR="003E2049" w:rsidRPr="00D71FAE">
        <w:rPr>
          <w:rStyle w:val="Hypertextovodkaz"/>
          <w:szCs w:val="22"/>
        </w:rPr>
        <w:t xml:space="preserve">Informace o Programu regenerace MPR a MPZ na webových </w:t>
      </w:r>
      <w:r w:rsidR="00393FF5">
        <w:rPr>
          <w:rStyle w:val="Hypertextovodkaz"/>
          <w:szCs w:val="22"/>
        </w:rPr>
        <w:t>stránkách M</w:t>
      </w:r>
      <w:r w:rsidR="003E2049" w:rsidRPr="00D71FAE">
        <w:rPr>
          <w:rStyle w:val="Hypertextovodkaz"/>
          <w:szCs w:val="22"/>
        </w:rPr>
        <w:t>inisterstva kultury</w:t>
      </w:r>
      <w:r w:rsidR="00393FF5">
        <w:rPr>
          <w:rStyle w:val="Hypertextovodkaz"/>
          <w:szCs w:val="22"/>
        </w:rPr>
        <w:t xml:space="preserve"> ČR</w:t>
      </w:r>
    </w:p>
    <w:p w:rsidR="00EE381D" w:rsidRDefault="00D71FAE" w:rsidP="003E2049">
      <w:pPr>
        <w:jc w:val="both"/>
        <w:rPr>
          <w:szCs w:val="22"/>
        </w:rPr>
      </w:pPr>
      <w:r>
        <w:rPr>
          <w:szCs w:val="22"/>
        </w:rPr>
        <w:fldChar w:fldCharType="end"/>
      </w:r>
    </w:p>
    <w:p w:rsidR="003E2049" w:rsidRDefault="00F14DDE" w:rsidP="003E2049">
      <w:pPr>
        <w:jc w:val="both"/>
        <w:rPr>
          <w:szCs w:val="22"/>
        </w:rPr>
      </w:pPr>
      <w:hyperlink r:id="rId7" w:tooltip="Informace o titulu Historické město roku" w:history="1">
        <w:r w:rsidR="003E2049" w:rsidRPr="00987D36">
          <w:rPr>
            <w:rStyle w:val="Hypertextovodkaz"/>
            <w:szCs w:val="22"/>
          </w:rPr>
          <w:t>Informace o titulu Historické město roku na webových stránkách Sdružení historických sídel Čech, Moravy a Slezska</w:t>
        </w:r>
      </w:hyperlink>
    </w:p>
    <w:p w:rsidR="00CC7419" w:rsidRDefault="00CC7419" w:rsidP="00B34E7F">
      <w:pPr>
        <w:pBdr>
          <w:bottom w:val="single" w:sz="4" w:space="1" w:color="auto"/>
        </w:pBdr>
        <w:jc w:val="both"/>
        <w:rPr>
          <w:szCs w:val="22"/>
        </w:rPr>
      </w:pPr>
    </w:p>
    <w:p w:rsidR="00B34E7F" w:rsidRDefault="00B34E7F" w:rsidP="00CC7419">
      <w:pPr>
        <w:jc w:val="both"/>
        <w:rPr>
          <w:b/>
          <w:sz w:val="24"/>
        </w:rPr>
      </w:pPr>
    </w:p>
    <w:p w:rsidR="007470A4" w:rsidRPr="00261AAC" w:rsidRDefault="007470A4" w:rsidP="007470A4">
      <w:pPr>
        <w:jc w:val="both"/>
        <w:rPr>
          <w:szCs w:val="22"/>
        </w:rPr>
      </w:pPr>
      <w:r w:rsidRPr="00261AAC">
        <w:rPr>
          <w:szCs w:val="22"/>
        </w:rPr>
        <w:t>Kontakt:</w:t>
      </w:r>
    </w:p>
    <w:p w:rsidR="007470A4" w:rsidRPr="00F06BBB" w:rsidRDefault="007470A4" w:rsidP="007470A4">
      <w:pPr>
        <w:rPr>
          <w:rFonts w:asciiTheme="minorHAnsi" w:hAnsiTheme="minorHAnsi" w:cstheme="minorHAnsi"/>
          <w:szCs w:val="22"/>
        </w:rPr>
      </w:pPr>
      <w:r w:rsidRPr="00261AAC">
        <w:rPr>
          <w:rFonts w:asciiTheme="minorHAnsi" w:hAnsiTheme="minorHAnsi" w:cstheme="minorHAnsi"/>
          <w:szCs w:val="22"/>
        </w:rPr>
        <w:t>Mgr. Petra Zelinková, pracovnice PR</w:t>
      </w:r>
      <w:r>
        <w:rPr>
          <w:rFonts w:asciiTheme="minorHAnsi" w:hAnsiTheme="minorHAnsi" w:cstheme="minorHAnsi"/>
          <w:szCs w:val="22"/>
        </w:rPr>
        <w:t xml:space="preserve">, </w:t>
      </w:r>
      <w:r w:rsidRPr="00261AAC">
        <w:rPr>
          <w:rFonts w:asciiTheme="minorHAnsi" w:hAnsiTheme="minorHAnsi" w:cstheme="minorHAnsi"/>
          <w:szCs w:val="22"/>
        </w:rPr>
        <w:t>mobil: +420 775 442</w:t>
      </w:r>
      <w:r>
        <w:rPr>
          <w:rFonts w:asciiTheme="minorHAnsi" w:hAnsiTheme="minorHAnsi" w:cstheme="minorHAnsi"/>
          <w:szCs w:val="22"/>
        </w:rPr>
        <w:t> </w:t>
      </w:r>
      <w:r w:rsidRPr="00261AAC">
        <w:rPr>
          <w:rFonts w:asciiTheme="minorHAnsi" w:hAnsiTheme="minorHAnsi" w:cstheme="minorHAnsi"/>
          <w:szCs w:val="22"/>
        </w:rPr>
        <w:t>269</w:t>
      </w:r>
      <w:r>
        <w:rPr>
          <w:rFonts w:asciiTheme="minorHAnsi" w:hAnsiTheme="minorHAnsi" w:cstheme="minorHAnsi"/>
          <w:szCs w:val="22"/>
        </w:rPr>
        <w:t xml:space="preserve">, </w:t>
      </w:r>
      <w:r w:rsidRPr="00261AAC">
        <w:rPr>
          <w:rFonts w:asciiTheme="minorHAnsi" w:hAnsiTheme="minorHAnsi" w:cstheme="minorHAnsi"/>
          <w:szCs w:val="22"/>
        </w:rPr>
        <w:t>e-mail: zelinkova.petra</w:t>
      </w:r>
      <w:r>
        <w:rPr>
          <w:rFonts w:asciiTheme="minorHAnsi" w:hAnsiTheme="minorHAnsi" w:cstheme="minorHAnsi"/>
          <w:szCs w:val="22"/>
        </w:rPr>
        <w:t>@npu.cz</w:t>
      </w:r>
    </w:p>
    <w:p w:rsidR="00CC7419" w:rsidRDefault="00CC7419" w:rsidP="00CC7419">
      <w:pPr>
        <w:pBdr>
          <w:bottom w:val="single" w:sz="4" w:space="1" w:color="auto"/>
        </w:pBdr>
        <w:jc w:val="both"/>
        <w:rPr>
          <w:szCs w:val="22"/>
        </w:rPr>
      </w:pPr>
    </w:p>
    <w:p w:rsidR="003E2049" w:rsidRDefault="003E2049" w:rsidP="003F763A">
      <w:pPr>
        <w:jc w:val="both"/>
      </w:pPr>
    </w:p>
    <w:p w:rsidR="001176AD" w:rsidRPr="0014184C" w:rsidRDefault="00987D36" w:rsidP="0014184C">
      <w:pPr>
        <w:jc w:val="both"/>
        <w:rPr>
          <w:rFonts w:cs="Calibri"/>
          <w:i/>
          <w:sz w:val="20"/>
          <w:szCs w:val="20"/>
        </w:rPr>
      </w:pPr>
      <w:r w:rsidRPr="0014184C">
        <w:rPr>
          <w:rFonts w:cs="Arial"/>
          <w:b/>
          <w:bCs/>
          <w:i/>
          <w:sz w:val="20"/>
          <w:szCs w:val="20"/>
        </w:rPr>
        <w:t xml:space="preserve">Národní památkový ústav, územní odborné pracoviště v Kroměříži </w:t>
      </w:r>
      <w:r w:rsidRPr="0014184C">
        <w:rPr>
          <w:rFonts w:cs="Arial"/>
          <w:bCs/>
          <w:i/>
          <w:sz w:val="20"/>
          <w:szCs w:val="20"/>
        </w:rPr>
        <w:t>je jedním ze čtrnácti krajských pracovišť NPÚ.</w:t>
      </w:r>
      <w:r w:rsidRPr="0014184C">
        <w:rPr>
          <w:rFonts w:cs="Arial"/>
          <w:b/>
          <w:bCs/>
          <w:i/>
          <w:sz w:val="20"/>
          <w:szCs w:val="20"/>
        </w:rPr>
        <w:t xml:space="preserve"> </w:t>
      </w:r>
      <w:r w:rsidRPr="0014184C">
        <w:rPr>
          <w:rFonts w:cs="Arial"/>
          <w:bCs/>
          <w:i/>
          <w:sz w:val="20"/>
          <w:szCs w:val="20"/>
        </w:rPr>
        <w:t xml:space="preserve">Pracoviště vzniklo delimitací z územního odborného pracoviště v Brně k 6. únoru 2006. </w:t>
      </w:r>
      <w:r w:rsidRPr="0014184C">
        <w:rPr>
          <w:rFonts w:cs="Arial"/>
          <w:i/>
          <w:sz w:val="20"/>
          <w:szCs w:val="20"/>
        </w:rPr>
        <w:t xml:space="preserve">Poskytuje odbornou a metodickou pomoc vlastníkům a správcům památek ve Zlínském kraji. Odborné pracoviště zajišťuje úkoly státní památkové péče v plném rozsahu daném zákonem a jako odborná a vědecko-výzkumná organizace se zabývá také ochranou, poznáváním, dokumentací a prezentací památkového fondu na území Zlínského kraje. Zpracovává návrhy na prohlašování věcí či objektů za kulturní památky a podílí se následně na jejich evidenci. Spravuje dokumentační sbírky plánů, fotografií a dalších odborných podkladů ke kulturním památkám. </w:t>
      </w:r>
      <w:r w:rsidR="0014184C">
        <w:rPr>
          <w:rFonts w:cs="Calibri"/>
          <w:i/>
          <w:sz w:val="20"/>
          <w:szCs w:val="20"/>
        </w:rPr>
        <w:t>Na území Zlínského kraje</w:t>
      </w:r>
      <w:r w:rsidR="001176AD" w:rsidRPr="0014184C">
        <w:rPr>
          <w:rFonts w:cs="Calibri"/>
          <w:i/>
          <w:sz w:val="20"/>
          <w:szCs w:val="20"/>
        </w:rPr>
        <w:t xml:space="preserve"> je </w:t>
      </w:r>
      <w:r w:rsidR="007470A4">
        <w:rPr>
          <w:rFonts w:cs="Calibri"/>
          <w:i/>
          <w:sz w:val="20"/>
          <w:szCs w:val="20"/>
        </w:rPr>
        <w:t xml:space="preserve">k 31. prosinci 2017 </w:t>
      </w:r>
      <w:r w:rsidR="001176AD" w:rsidRPr="0014184C">
        <w:rPr>
          <w:rFonts w:cs="Calibri"/>
          <w:i/>
          <w:sz w:val="20"/>
          <w:szCs w:val="20"/>
        </w:rPr>
        <w:t xml:space="preserve">celkem 1 </w:t>
      </w:r>
      <w:r w:rsidR="007470A4">
        <w:rPr>
          <w:rFonts w:cs="Calibri"/>
          <w:i/>
          <w:sz w:val="20"/>
          <w:szCs w:val="20"/>
        </w:rPr>
        <w:t>397</w:t>
      </w:r>
      <w:r w:rsidR="001176AD" w:rsidRPr="0014184C">
        <w:rPr>
          <w:rFonts w:cs="Calibri"/>
          <w:i/>
          <w:sz w:val="20"/>
          <w:szCs w:val="20"/>
        </w:rPr>
        <w:t xml:space="preserve"> kulturních památek, z toho 15 národních kulturních památek, 1 městská památková rezervace, 3 vesnické památkové rezervace, 14 městských památkových zón, 3 vesnické památkové zóny, nachází se zde i památka UNESCO – Arcibiskupský zámek a zahrady v Kroměříži. </w:t>
      </w:r>
      <w:r w:rsidRPr="0014184C">
        <w:rPr>
          <w:rFonts w:cs="Calibri"/>
          <w:i/>
          <w:sz w:val="20"/>
          <w:szCs w:val="20"/>
        </w:rPr>
        <w:t>Od roku 2008 prac</w:t>
      </w:r>
      <w:r w:rsidR="001176AD" w:rsidRPr="0014184C">
        <w:rPr>
          <w:rFonts w:cs="Calibri"/>
          <w:i/>
          <w:sz w:val="20"/>
          <w:szCs w:val="20"/>
        </w:rPr>
        <w:t xml:space="preserve">oviště vydává každoročně </w:t>
      </w:r>
      <w:r w:rsidR="0014184C">
        <w:rPr>
          <w:rFonts w:cs="Calibri"/>
          <w:b/>
          <w:i/>
          <w:sz w:val="20"/>
          <w:szCs w:val="20"/>
        </w:rPr>
        <w:t>publikaci</w:t>
      </w:r>
      <w:r w:rsidR="001176AD" w:rsidRPr="0014184C">
        <w:rPr>
          <w:rFonts w:cs="Calibri"/>
          <w:b/>
          <w:i/>
          <w:sz w:val="20"/>
          <w:szCs w:val="20"/>
        </w:rPr>
        <w:t xml:space="preserve"> </w:t>
      </w:r>
      <w:proofErr w:type="spellStart"/>
      <w:r w:rsidRPr="0014184C">
        <w:rPr>
          <w:rFonts w:cs="Calibri"/>
          <w:b/>
          <w:i/>
          <w:sz w:val="20"/>
          <w:szCs w:val="20"/>
        </w:rPr>
        <w:t>Ingredere</w:t>
      </w:r>
      <w:proofErr w:type="spellEnd"/>
      <w:r w:rsidRPr="0014184C">
        <w:rPr>
          <w:rFonts w:cs="Calibri"/>
          <w:b/>
          <w:i/>
          <w:sz w:val="20"/>
          <w:szCs w:val="20"/>
        </w:rPr>
        <w:t xml:space="preserve"> </w:t>
      </w:r>
      <w:proofErr w:type="spellStart"/>
      <w:r w:rsidRPr="0014184C">
        <w:rPr>
          <w:rFonts w:cs="Calibri"/>
          <w:b/>
          <w:i/>
          <w:sz w:val="20"/>
          <w:szCs w:val="20"/>
        </w:rPr>
        <w:t>hospes</w:t>
      </w:r>
      <w:proofErr w:type="spellEnd"/>
      <w:r w:rsidRPr="0014184C">
        <w:rPr>
          <w:rFonts w:cs="Calibri"/>
          <w:i/>
          <w:sz w:val="20"/>
          <w:szCs w:val="20"/>
        </w:rPr>
        <w:t xml:space="preserve">, </w:t>
      </w:r>
      <w:r w:rsidR="001176AD" w:rsidRPr="0014184C">
        <w:rPr>
          <w:rFonts w:cs="Calibri"/>
          <w:i/>
          <w:sz w:val="20"/>
          <w:szCs w:val="20"/>
        </w:rPr>
        <w:t>obsahově je</w:t>
      </w:r>
      <w:r w:rsidRPr="0014184C">
        <w:rPr>
          <w:rFonts w:cs="Calibri"/>
          <w:i/>
          <w:sz w:val="20"/>
          <w:szCs w:val="20"/>
        </w:rPr>
        <w:t xml:space="preserve"> zaměř</w:t>
      </w:r>
      <w:r w:rsidR="001176AD" w:rsidRPr="0014184C">
        <w:rPr>
          <w:rFonts w:cs="Calibri"/>
          <w:i/>
          <w:sz w:val="20"/>
          <w:szCs w:val="20"/>
        </w:rPr>
        <w:t>en</w:t>
      </w:r>
      <w:r w:rsidR="0014184C">
        <w:rPr>
          <w:rFonts w:cs="Calibri"/>
          <w:i/>
          <w:sz w:val="20"/>
          <w:szCs w:val="20"/>
        </w:rPr>
        <w:t>a</w:t>
      </w:r>
      <w:r w:rsidRPr="0014184C">
        <w:rPr>
          <w:rFonts w:cs="Calibri"/>
          <w:i/>
          <w:sz w:val="20"/>
          <w:szCs w:val="20"/>
        </w:rPr>
        <w:t xml:space="preserve"> na aktuální poznatky a dění v rámci památkové péče zejména ve Zlínském kraji. Součástí kroměřížského odborného pracoviště NPÚ je od 1. ledna 2015 </w:t>
      </w:r>
      <w:r w:rsidRPr="0014184C">
        <w:rPr>
          <w:rFonts w:cs="Calibri"/>
          <w:b/>
          <w:i/>
          <w:sz w:val="20"/>
          <w:szCs w:val="20"/>
        </w:rPr>
        <w:t>Metodické centrum zahradní kultury v Kroměříži</w:t>
      </w:r>
      <w:r w:rsidRPr="0014184C">
        <w:rPr>
          <w:rFonts w:cs="Calibri"/>
          <w:i/>
          <w:sz w:val="20"/>
          <w:szCs w:val="20"/>
        </w:rPr>
        <w:t xml:space="preserve">, které funguje jako multioborové centrum pro oblast obnovy a následnou péči o historické zahrady a parky v České republice, nabízí široké portfolio vzdělávacích programů z oblasti zahradní kultury pro laickou i odbornou veřejnost a svou činností naplňuje mimo jiné i cíle </w:t>
      </w:r>
      <w:r w:rsidRPr="0014184C">
        <w:rPr>
          <w:rFonts w:cs="Calibri"/>
          <w:b/>
          <w:i/>
          <w:sz w:val="20"/>
          <w:szCs w:val="20"/>
        </w:rPr>
        <w:lastRenderedPageBreak/>
        <w:t xml:space="preserve">projektu </w:t>
      </w:r>
      <w:hyperlink r:id="rId8" w:history="1">
        <w:r w:rsidRPr="0014184C">
          <w:rPr>
            <w:rFonts w:cs="Calibri"/>
            <w:b/>
            <w:i/>
            <w:sz w:val="20"/>
            <w:szCs w:val="20"/>
          </w:rPr>
          <w:t>Národního centra zahradní kultury</w:t>
        </w:r>
      </w:hyperlink>
      <w:r w:rsidRPr="0014184C">
        <w:rPr>
          <w:rFonts w:cs="Calibri"/>
          <w:i/>
          <w:sz w:val="20"/>
          <w:szCs w:val="20"/>
        </w:rPr>
        <w:t xml:space="preserve">. </w:t>
      </w:r>
      <w:r w:rsidR="001176AD" w:rsidRPr="0014184C">
        <w:rPr>
          <w:rFonts w:cs="Calibri"/>
          <w:i/>
          <w:sz w:val="20"/>
          <w:szCs w:val="20"/>
        </w:rPr>
        <w:t>Veškeré informace o projektu a činnosti centra jsou k dispozici na</w:t>
      </w:r>
      <w:r w:rsidR="00516102">
        <w:rPr>
          <w:rFonts w:cs="Calibri"/>
          <w:i/>
          <w:sz w:val="20"/>
          <w:szCs w:val="20"/>
        </w:rPr>
        <w:t> </w:t>
      </w:r>
      <w:hyperlink r:id="rId9" w:history="1">
        <w:r w:rsidR="001176AD" w:rsidRPr="0014184C">
          <w:rPr>
            <w:rFonts w:cs="Calibri"/>
            <w:i/>
            <w:color w:val="0000FF"/>
            <w:sz w:val="20"/>
            <w:szCs w:val="20"/>
            <w:u w:val="single"/>
          </w:rPr>
          <w:t>www.nczk.cz</w:t>
        </w:r>
      </w:hyperlink>
      <w:r w:rsidR="001176AD" w:rsidRPr="0014184C">
        <w:rPr>
          <w:rFonts w:cs="Calibri"/>
          <w:i/>
          <w:sz w:val="20"/>
          <w:szCs w:val="20"/>
        </w:rPr>
        <w:t xml:space="preserve"> a </w:t>
      </w:r>
      <w:proofErr w:type="spellStart"/>
      <w:r w:rsidR="00516102">
        <w:rPr>
          <w:rFonts w:cs="Calibri"/>
          <w:i/>
          <w:sz w:val="20"/>
          <w:szCs w:val="20"/>
        </w:rPr>
        <w:t>facebookovém</w:t>
      </w:r>
      <w:proofErr w:type="spellEnd"/>
      <w:r w:rsidR="00516102">
        <w:rPr>
          <w:rFonts w:cs="Calibri"/>
          <w:i/>
          <w:sz w:val="20"/>
          <w:szCs w:val="20"/>
        </w:rPr>
        <w:t xml:space="preserve"> profilu </w:t>
      </w:r>
      <w:hyperlink r:id="rId10" w:history="1">
        <w:r w:rsidR="001176AD" w:rsidRPr="0014184C">
          <w:rPr>
            <w:rFonts w:cs="Calibri"/>
            <w:i/>
            <w:color w:val="0000FF"/>
            <w:sz w:val="20"/>
            <w:szCs w:val="20"/>
            <w:u w:val="single"/>
          </w:rPr>
          <w:t>Národní centrum zahradní kultury</w:t>
        </w:r>
      </w:hyperlink>
      <w:r w:rsidR="001176AD" w:rsidRPr="0014184C">
        <w:rPr>
          <w:rFonts w:cs="Calibri"/>
          <w:i/>
          <w:sz w:val="20"/>
          <w:szCs w:val="20"/>
        </w:rPr>
        <w:t>.</w:t>
      </w:r>
    </w:p>
    <w:p w:rsidR="001176AD" w:rsidRPr="0014184C" w:rsidRDefault="00516102" w:rsidP="0014184C">
      <w:pPr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br/>
      </w:r>
      <w:r w:rsidR="00FB7489" w:rsidRPr="0014184C">
        <w:rPr>
          <w:rFonts w:cs="Calibri"/>
          <w:i/>
          <w:sz w:val="20"/>
          <w:szCs w:val="20"/>
        </w:rPr>
        <w:t xml:space="preserve">Další informace najdete na </w:t>
      </w:r>
      <w:hyperlink r:id="rId11" w:history="1">
        <w:r w:rsidR="0014184C">
          <w:rPr>
            <w:rStyle w:val="Hypertextovodkaz"/>
            <w:rFonts w:cs="Calibri"/>
            <w:i/>
            <w:sz w:val="20"/>
            <w:szCs w:val="20"/>
          </w:rPr>
          <w:t>www.npu.cz</w:t>
        </w:r>
      </w:hyperlink>
      <w:r w:rsidR="001176AD" w:rsidRPr="0014184C">
        <w:rPr>
          <w:rFonts w:cs="Calibri"/>
          <w:i/>
          <w:sz w:val="20"/>
          <w:szCs w:val="20"/>
        </w:rPr>
        <w:t xml:space="preserve">, případně na </w:t>
      </w:r>
      <w:proofErr w:type="spellStart"/>
      <w:r>
        <w:rPr>
          <w:rFonts w:cs="Calibri"/>
          <w:i/>
          <w:sz w:val="20"/>
          <w:szCs w:val="20"/>
        </w:rPr>
        <w:t>facebookovém</w:t>
      </w:r>
      <w:proofErr w:type="spellEnd"/>
      <w:r>
        <w:rPr>
          <w:rFonts w:cs="Calibri"/>
          <w:i/>
          <w:sz w:val="20"/>
          <w:szCs w:val="20"/>
        </w:rPr>
        <w:t xml:space="preserve"> profilu </w:t>
      </w:r>
      <w:hyperlink r:id="rId12" w:history="1">
        <w:r w:rsidRPr="00516102">
          <w:rPr>
            <w:rStyle w:val="Hypertextovodkaz"/>
            <w:rFonts w:cs="Calibri"/>
            <w:i/>
            <w:sz w:val="20"/>
            <w:szCs w:val="20"/>
          </w:rPr>
          <w:t xml:space="preserve">Památková péče ve Zlínském kraji - </w:t>
        </w:r>
        <w:r w:rsidRPr="00516102">
          <w:rPr>
            <w:rStyle w:val="Hypertextovodkaz"/>
            <w:rFonts w:cs="Calibri"/>
            <w:sz w:val="20"/>
            <w:szCs w:val="20"/>
          </w:rPr>
          <w:t>Národní památkový ústav Kroměříž</w:t>
        </w:r>
      </w:hyperlink>
    </w:p>
    <w:sectPr w:rsidR="001176AD" w:rsidRPr="0014184C">
      <w:footerReference w:type="even" r:id="rId13"/>
      <w:headerReference w:type="first" r:id="rId14"/>
      <w:pgSz w:w="11907" w:h="16840"/>
      <w:pgMar w:top="1276" w:right="1418" w:bottom="1418" w:left="1418" w:header="567" w:footer="17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DDE" w:rsidRDefault="00F14DDE">
      <w:r>
        <w:separator/>
      </w:r>
    </w:p>
  </w:endnote>
  <w:endnote w:type="continuationSeparator" w:id="0">
    <w:p w:rsidR="00F14DDE" w:rsidRDefault="00F1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A21076">
    <w:pPr>
      <w:pStyle w:val="Zpat"/>
      <w:framePr w:h="0" w:wrap="around" w:vAnchor="text" w:hAnchor="margin" w:xAlign="right" w:y="1"/>
      <w:rPr>
        <w:rStyle w:val="slostrnky"/>
      </w:rPr>
    </w:pPr>
    <w:r>
      <w:fldChar w:fldCharType="begin"/>
    </w:r>
    <w:r>
      <w:rPr>
        <w:rStyle w:val="slostrnky"/>
      </w:rPr>
      <w:instrText xml:space="preserve">PAGE  </w:instrText>
    </w:r>
    <w:r>
      <w:fldChar w:fldCharType="end"/>
    </w:r>
  </w:p>
  <w:p w:rsidR="00A21076" w:rsidRDefault="00A2107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DDE" w:rsidRDefault="00F14DDE">
      <w:r>
        <w:separator/>
      </w:r>
    </w:p>
  </w:footnote>
  <w:footnote w:type="continuationSeparator" w:id="0">
    <w:p w:rsidR="00F14DDE" w:rsidRDefault="00F14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7271B6">
    <w:pPr>
      <w:pStyle w:val="Zhlav"/>
    </w:pPr>
    <w:r>
      <w:rPr>
        <w:noProof/>
      </w:rPr>
      <w:drawing>
        <wp:inline distT="0" distB="0" distL="0" distR="0">
          <wp:extent cx="2733675" cy="1019175"/>
          <wp:effectExtent l="0" t="0" r="9525" b="9525"/>
          <wp:docPr id="1" name="obrázek 1" descr="NPU-UOP_v_Kromerizi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U-UOP_v_Kromerizi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6F2F">
      <w:tab/>
    </w:r>
  </w:p>
  <w:p w:rsidR="00D71FAE" w:rsidRDefault="00D71F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EC7"/>
    <w:rsid w:val="00003C69"/>
    <w:rsid w:val="0002065B"/>
    <w:rsid w:val="00033499"/>
    <w:rsid w:val="000419D4"/>
    <w:rsid w:val="000466E3"/>
    <w:rsid w:val="0005034D"/>
    <w:rsid w:val="00056C2E"/>
    <w:rsid w:val="000648A5"/>
    <w:rsid w:val="000669A7"/>
    <w:rsid w:val="00074766"/>
    <w:rsid w:val="00083E53"/>
    <w:rsid w:val="000E10C7"/>
    <w:rsid w:val="000F5523"/>
    <w:rsid w:val="000F72C3"/>
    <w:rsid w:val="001152DC"/>
    <w:rsid w:val="001176AD"/>
    <w:rsid w:val="0014184C"/>
    <w:rsid w:val="001529B8"/>
    <w:rsid w:val="00160B55"/>
    <w:rsid w:val="00172A27"/>
    <w:rsid w:val="00195B13"/>
    <w:rsid w:val="001F443A"/>
    <w:rsid w:val="001F4B70"/>
    <w:rsid w:val="002124F9"/>
    <w:rsid w:val="0022082C"/>
    <w:rsid w:val="002410A3"/>
    <w:rsid w:val="0025175B"/>
    <w:rsid w:val="00260456"/>
    <w:rsid w:val="002617E9"/>
    <w:rsid w:val="00282AD2"/>
    <w:rsid w:val="00295748"/>
    <w:rsid w:val="002A0C0B"/>
    <w:rsid w:val="002B510B"/>
    <w:rsid w:val="002F0F81"/>
    <w:rsid w:val="002F2B99"/>
    <w:rsid w:val="0031590E"/>
    <w:rsid w:val="00363636"/>
    <w:rsid w:val="00364D75"/>
    <w:rsid w:val="003831AD"/>
    <w:rsid w:val="003861B6"/>
    <w:rsid w:val="00393FF5"/>
    <w:rsid w:val="0039490E"/>
    <w:rsid w:val="003D1B92"/>
    <w:rsid w:val="003D1E63"/>
    <w:rsid w:val="003D3FDE"/>
    <w:rsid w:val="003E2049"/>
    <w:rsid w:val="003F2175"/>
    <w:rsid w:val="003F763A"/>
    <w:rsid w:val="00411BA0"/>
    <w:rsid w:val="00414F50"/>
    <w:rsid w:val="00441F7F"/>
    <w:rsid w:val="00474FF3"/>
    <w:rsid w:val="004826DB"/>
    <w:rsid w:val="004967F4"/>
    <w:rsid w:val="004E1E96"/>
    <w:rsid w:val="00501ADD"/>
    <w:rsid w:val="0050503D"/>
    <w:rsid w:val="00516102"/>
    <w:rsid w:val="005C5354"/>
    <w:rsid w:val="005D175F"/>
    <w:rsid w:val="0061281D"/>
    <w:rsid w:val="00617FE9"/>
    <w:rsid w:val="00627385"/>
    <w:rsid w:val="006277AE"/>
    <w:rsid w:val="00643990"/>
    <w:rsid w:val="00646FE6"/>
    <w:rsid w:val="00654231"/>
    <w:rsid w:val="006566CA"/>
    <w:rsid w:val="0069617A"/>
    <w:rsid w:val="006A7D43"/>
    <w:rsid w:val="00715605"/>
    <w:rsid w:val="00715FCD"/>
    <w:rsid w:val="00724F30"/>
    <w:rsid w:val="007251D5"/>
    <w:rsid w:val="00725674"/>
    <w:rsid w:val="007271B6"/>
    <w:rsid w:val="007470A4"/>
    <w:rsid w:val="007857C8"/>
    <w:rsid w:val="00787295"/>
    <w:rsid w:val="007A2444"/>
    <w:rsid w:val="007B0503"/>
    <w:rsid w:val="007C53C0"/>
    <w:rsid w:val="008020DC"/>
    <w:rsid w:val="00802463"/>
    <w:rsid w:val="008031DC"/>
    <w:rsid w:val="00812F59"/>
    <w:rsid w:val="00833032"/>
    <w:rsid w:val="0085467B"/>
    <w:rsid w:val="00856531"/>
    <w:rsid w:val="008C01F4"/>
    <w:rsid w:val="008C4B98"/>
    <w:rsid w:val="008C60B3"/>
    <w:rsid w:val="0092512F"/>
    <w:rsid w:val="00934ED0"/>
    <w:rsid w:val="00936346"/>
    <w:rsid w:val="00974B2A"/>
    <w:rsid w:val="00974BCE"/>
    <w:rsid w:val="00987D36"/>
    <w:rsid w:val="009B3620"/>
    <w:rsid w:val="009B3F3C"/>
    <w:rsid w:val="009D47DC"/>
    <w:rsid w:val="009F234B"/>
    <w:rsid w:val="00A0010E"/>
    <w:rsid w:val="00A04007"/>
    <w:rsid w:val="00A14F2A"/>
    <w:rsid w:val="00A17105"/>
    <w:rsid w:val="00A21076"/>
    <w:rsid w:val="00A361AC"/>
    <w:rsid w:val="00A46414"/>
    <w:rsid w:val="00A82B33"/>
    <w:rsid w:val="00AB463F"/>
    <w:rsid w:val="00AF0107"/>
    <w:rsid w:val="00AF42E3"/>
    <w:rsid w:val="00B10600"/>
    <w:rsid w:val="00B2344B"/>
    <w:rsid w:val="00B34E7F"/>
    <w:rsid w:val="00B36721"/>
    <w:rsid w:val="00B72AAA"/>
    <w:rsid w:val="00B75F25"/>
    <w:rsid w:val="00B858A8"/>
    <w:rsid w:val="00B959AB"/>
    <w:rsid w:val="00B96561"/>
    <w:rsid w:val="00BA6B91"/>
    <w:rsid w:val="00BB2BAB"/>
    <w:rsid w:val="00BC7959"/>
    <w:rsid w:val="00BD31C0"/>
    <w:rsid w:val="00BD7DEC"/>
    <w:rsid w:val="00BE21F9"/>
    <w:rsid w:val="00C062CE"/>
    <w:rsid w:val="00C20D2D"/>
    <w:rsid w:val="00C301BD"/>
    <w:rsid w:val="00C36B1F"/>
    <w:rsid w:val="00C60782"/>
    <w:rsid w:val="00C73A0C"/>
    <w:rsid w:val="00C76F2F"/>
    <w:rsid w:val="00C77100"/>
    <w:rsid w:val="00C9435A"/>
    <w:rsid w:val="00CA173A"/>
    <w:rsid w:val="00CC2C91"/>
    <w:rsid w:val="00CC7419"/>
    <w:rsid w:val="00CE50C8"/>
    <w:rsid w:val="00D05667"/>
    <w:rsid w:val="00D27456"/>
    <w:rsid w:val="00D36B17"/>
    <w:rsid w:val="00D661DC"/>
    <w:rsid w:val="00D71FAE"/>
    <w:rsid w:val="00D95923"/>
    <w:rsid w:val="00DA319A"/>
    <w:rsid w:val="00DC19FB"/>
    <w:rsid w:val="00DF7107"/>
    <w:rsid w:val="00E031AB"/>
    <w:rsid w:val="00E11B5B"/>
    <w:rsid w:val="00E22FE1"/>
    <w:rsid w:val="00E23EE8"/>
    <w:rsid w:val="00E32177"/>
    <w:rsid w:val="00E473C0"/>
    <w:rsid w:val="00E5128A"/>
    <w:rsid w:val="00E64781"/>
    <w:rsid w:val="00E730C1"/>
    <w:rsid w:val="00EE381D"/>
    <w:rsid w:val="00F02F59"/>
    <w:rsid w:val="00F14DDE"/>
    <w:rsid w:val="00F26E10"/>
    <w:rsid w:val="00F64124"/>
    <w:rsid w:val="00F64F02"/>
    <w:rsid w:val="00F6592C"/>
    <w:rsid w:val="00F6603A"/>
    <w:rsid w:val="00F7060B"/>
    <w:rsid w:val="00F77D41"/>
    <w:rsid w:val="00F96455"/>
    <w:rsid w:val="00FA426D"/>
    <w:rsid w:val="00FA5E9F"/>
    <w:rsid w:val="00FB3293"/>
    <w:rsid w:val="00FB473E"/>
    <w:rsid w:val="00FB7489"/>
    <w:rsid w:val="00FC2AE7"/>
    <w:rsid w:val="00FE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03A0BBF1"/>
  <w15:chartTrackingRefBased/>
  <w15:docId w15:val="{49A863D6-53BE-47FB-BAA8-450CBDEE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aChar">
    <w:name w:val="adresa Char"/>
    <w:link w:val="adresa"/>
    <w:locked/>
    <w:rPr>
      <w:rFonts w:ascii="Calibri" w:eastAsia="Calibri" w:hAnsi="Calibri"/>
      <w:sz w:val="22"/>
      <w:szCs w:val="18"/>
      <w:lang w:val="cs-CZ" w:eastAsia="en-US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Drobnpsmo">
    <w:name w:val="Drobné písmo"/>
    <w:rPr>
      <w:sz w:val="17"/>
    </w:rPr>
  </w:style>
  <w:style w:type="character" w:styleId="slostrnky">
    <w:name w:val="page number"/>
    <w:rPr>
      <w:rFonts w:ascii="Calibri" w:hAnsi="Calibri"/>
      <w:sz w:val="22"/>
    </w:r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ln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adresa">
    <w:name w:val="adresa"/>
    <w:basedOn w:val="Normln"/>
    <w:link w:val="adresaChar"/>
    <w:pPr>
      <w:jc w:val="both"/>
    </w:pPr>
    <w:rPr>
      <w:rFonts w:eastAsia="Calibri"/>
      <w:szCs w:val="18"/>
      <w:lang w:eastAsia="en-US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</w:pPr>
    <w:rPr>
      <w:rFonts w:ascii="Tahoma" w:eastAsia="Tahoma" w:hAnsi="Tahoma"/>
      <w:color w:val="000000"/>
      <w:sz w:val="24"/>
    </w:rPr>
  </w:style>
  <w:style w:type="character" w:styleId="Odkaznakoment">
    <w:name w:val="annotation reference"/>
    <w:rsid w:val="00F964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6455"/>
    <w:rPr>
      <w:sz w:val="20"/>
      <w:szCs w:val="20"/>
    </w:rPr>
  </w:style>
  <w:style w:type="character" w:customStyle="1" w:styleId="TextkomenteChar">
    <w:name w:val="Text komentáře Char"/>
    <w:link w:val="Textkomente"/>
    <w:rsid w:val="00F96455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F96455"/>
    <w:rPr>
      <w:b/>
      <w:bCs/>
    </w:rPr>
  </w:style>
  <w:style w:type="character" w:customStyle="1" w:styleId="PedmtkomenteChar">
    <w:name w:val="Předmět komentáře Char"/>
    <w:link w:val="Pedmtkomente"/>
    <w:rsid w:val="00F96455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rsid w:val="00F964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96455"/>
    <w:rPr>
      <w:rFonts w:ascii="Tahoma" w:hAnsi="Tahoma" w:cs="Tahoma"/>
      <w:sz w:val="16"/>
      <w:szCs w:val="16"/>
    </w:rPr>
  </w:style>
  <w:style w:type="character" w:customStyle="1" w:styleId="object">
    <w:name w:val="object"/>
    <w:rsid w:val="001529B8"/>
  </w:style>
  <w:style w:type="character" w:styleId="Siln">
    <w:name w:val="Strong"/>
    <w:uiPriority w:val="22"/>
    <w:qFormat/>
    <w:rsid w:val="00DC19FB"/>
    <w:rPr>
      <w:b/>
      <w:bCs/>
    </w:rPr>
  </w:style>
  <w:style w:type="character" w:customStyle="1" w:styleId="ZpatChar">
    <w:name w:val="Zápatí Char"/>
    <w:link w:val="Zpat"/>
    <w:uiPriority w:val="99"/>
    <w:rsid w:val="00A17105"/>
    <w:rPr>
      <w:rFonts w:ascii="Calibri" w:hAnsi="Calibri"/>
      <w:sz w:val="22"/>
      <w:szCs w:val="24"/>
    </w:rPr>
  </w:style>
  <w:style w:type="character" w:styleId="Zdraznn">
    <w:name w:val="Emphasis"/>
    <w:uiPriority w:val="20"/>
    <w:qFormat/>
    <w:rsid w:val="00FB7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zk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istorickasidla.cz/cs/historicke-mesto-roku/historie/" TargetMode="External"/><Relationship Id="rId12" Type="http://schemas.openxmlformats.org/officeDocument/2006/relationships/hyperlink" Target="https://www.facebook.com/npu.kromeri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pu.cz/uop-kromeri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nczk.kromer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zk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AE2CD-0B7B-4F55-AC37-D5BD4870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1019</Words>
  <Characters>6018</Characters>
  <Application>Microsoft Office Word</Application>
  <DocSecurity>0</DocSecurity>
  <PresentationFormat/>
  <Lines>50</Lines>
  <Paragraphs>14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NPÚ</Company>
  <LinksUpToDate>false</LinksUpToDate>
  <CharactersWithSpaces>7023</CharactersWithSpaces>
  <SharedDoc>false</SharedDoc>
  <HLinks>
    <vt:vector size="48" baseType="variant">
      <vt:variant>
        <vt:i4>589948</vt:i4>
      </vt:variant>
      <vt:variant>
        <vt:i4>21</vt:i4>
      </vt:variant>
      <vt:variant>
        <vt:i4>0</vt:i4>
      </vt:variant>
      <vt:variant>
        <vt:i4>5</vt:i4>
      </vt:variant>
      <vt:variant>
        <vt:lpwstr>mailto:zelinkova.petra@npu.cz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http://www.facebook.com/uop.kromeriz</vt:lpwstr>
      </vt:variant>
      <vt:variant>
        <vt:lpwstr/>
      </vt:variant>
      <vt:variant>
        <vt:i4>8126580</vt:i4>
      </vt:variant>
      <vt:variant>
        <vt:i4>15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5046281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http://www.facebook.com/nczk.kromeriz</vt:lpwstr>
      </vt:variant>
      <vt:variant>
        <vt:lpwstr/>
      </vt:variant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7012411</vt:i4>
      </vt:variant>
      <vt:variant>
        <vt:i4>6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6881313</vt:i4>
      </vt:variant>
      <vt:variant>
        <vt:i4>3</vt:i4>
      </vt:variant>
      <vt:variant>
        <vt:i4>0</vt:i4>
      </vt:variant>
      <vt:variant>
        <vt:i4>5</vt:i4>
      </vt:variant>
      <vt:variant>
        <vt:lpwstr>http://www.historickasidla.cz/cs/historicke-mesto-roku/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http://www.mkcr.cz/program-regenerace-mestskych-pamatkovych-rezervaci-a-mestskych-pamatkovych-zon-282.html?searchString=program%20regenerace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NPÚ</dc:creator>
  <cp:keywords/>
  <cp:lastModifiedBy>zelinkova</cp:lastModifiedBy>
  <cp:revision>5</cp:revision>
  <cp:lastPrinted>2013-01-31T10:26:00Z</cp:lastPrinted>
  <dcterms:created xsi:type="dcterms:W3CDTF">2019-01-29T10:13:00Z</dcterms:created>
  <dcterms:modified xsi:type="dcterms:W3CDTF">2019-01-30T09:06:00Z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